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D00D74">
      <w:r>
        <w:t xml:space="preserve">From: </w:t>
      </w:r>
      <w:hyperlink r:id="rId4" w:history="1">
        <w:r>
          <w:rPr>
            <w:rStyle w:val="Hyperlink"/>
          </w:rPr>
          <w:t>https://www.bankofengland.co.uk/working-paper/2020/eight-centuries-of-global-real-interest-rates-r-g-and-the-suprasecular-decline-1311-2018</w:t>
        </w:r>
      </w:hyperlink>
    </w:p>
    <w:p w:rsidR="00D00D74" w:rsidRPr="00D00D74" w:rsidRDefault="00D00D74" w:rsidP="00D00D74">
      <w:pPr>
        <w:shd w:val="clear" w:color="auto" w:fill="FFFFFE"/>
        <w:spacing w:after="0" w:line="240" w:lineRule="auto"/>
        <w:rPr>
          <w:rFonts w:ascii="Trebuchet MS" w:eastAsia="Times New Roman" w:hAnsi="Trebuchet MS" w:cs="Times New Roman"/>
          <w:color w:val="1E1E1E"/>
          <w:sz w:val="27"/>
          <w:szCs w:val="27"/>
        </w:rPr>
      </w:pPr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t>Published on 03 January 2020</w:t>
      </w:r>
    </w:p>
    <w:p w:rsidR="00D00D74" w:rsidRPr="00D00D74" w:rsidRDefault="00D00D74" w:rsidP="00D00D74">
      <w:pPr>
        <w:shd w:val="clear" w:color="auto" w:fill="FFFFFE"/>
        <w:spacing w:after="120" w:line="240" w:lineRule="auto"/>
        <w:outlineLvl w:val="1"/>
        <w:rPr>
          <w:rFonts w:ascii="Trebuchet MS" w:eastAsia="Times New Roman" w:hAnsi="Trebuchet MS" w:cs="Times New Roman"/>
          <w:color w:val="005E6E"/>
          <w:sz w:val="54"/>
          <w:szCs w:val="54"/>
        </w:rPr>
      </w:pPr>
      <w:r w:rsidRPr="00D00D74">
        <w:rPr>
          <w:rFonts w:ascii="Trebuchet MS" w:eastAsia="Times New Roman" w:hAnsi="Trebuchet MS" w:cs="Times New Roman"/>
          <w:color w:val="005E6E"/>
          <w:sz w:val="54"/>
          <w:szCs w:val="54"/>
        </w:rPr>
        <w:t>Staff Working Paper No. 845</w:t>
      </w:r>
    </w:p>
    <w:p w:rsidR="00D00D74" w:rsidRPr="00D00D74" w:rsidRDefault="00D00D74" w:rsidP="00D00D74">
      <w:pPr>
        <w:shd w:val="clear" w:color="auto" w:fill="FFFFFE"/>
        <w:spacing w:after="240" w:line="240" w:lineRule="auto"/>
        <w:rPr>
          <w:rFonts w:ascii="Trebuchet MS" w:eastAsia="Times New Roman" w:hAnsi="Trebuchet MS" w:cs="Times New Roman"/>
          <w:color w:val="1E1E1E"/>
          <w:sz w:val="27"/>
          <w:szCs w:val="27"/>
        </w:rPr>
      </w:pPr>
      <w:r w:rsidRPr="00D00D74">
        <w:rPr>
          <w:rFonts w:ascii="Trebuchet MS" w:eastAsia="Times New Roman" w:hAnsi="Trebuchet MS" w:cs="Times New Roman"/>
          <w:b/>
          <w:bCs/>
          <w:color w:val="1E1E1E"/>
          <w:sz w:val="27"/>
          <w:szCs w:val="27"/>
        </w:rPr>
        <w:t xml:space="preserve">By Paul </w:t>
      </w:r>
      <w:proofErr w:type="spellStart"/>
      <w:r w:rsidRPr="00D00D74">
        <w:rPr>
          <w:rFonts w:ascii="Trebuchet MS" w:eastAsia="Times New Roman" w:hAnsi="Trebuchet MS" w:cs="Times New Roman"/>
          <w:b/>
          <w:bCs/>
          <w:color w:val="1E1E1E"/>
          <w:sz w:val="27"/>
          <w:szCs w:val="27"/>
        </w:rPr>
        <w:t>Schmelzing</w:t>
      </w:r>
      <w:proofErr w:type="spellEnd"/>
    </w:p>
    <w:p w:rsidR="00D00D74" w:rsidRPr="00D00D74" w:rsidRDefault="00D00D74" w:rsidP="00D00D74">
      <w:pPr>
        <w:shd w:val="clear" w:color="auto" w:fill="FFFFFE"/>
        <w:spacing w:after="240" w:line="240" w:lineRule="auto"/>
        <w:rPr>
          <w:rFonts w:ascii="Trebuchet MS" w:eastAsia="Times New Roman" w:hAnsi="Trebuchet MS" w:cs="Times New Roman"/>
          <w:color w:val="1E1E1E"/>
          <w:sz w:val="27"/>
          <w:szCs w:val="27"/>
        </w:rPr>
      </w:pPr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t xml:space="preserve">With recourse to archival, printed primary, and secondary sources, this paper reconstructs </w:t>
      </w:r>
      <w:bookmarkStart w:id="0" w:name="_GoBack"/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t>global real interest rates on an annual basis going back to the 14th century</w:t>
      </w:r>
      <w:bookmarkEnd w:id="0"/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t>, covering 78% of advanced economy GDP over time. I show that across successive monetary and fiscal regimes, and a variety of asset classes, real interest rates have not been ‘stable’, and that since the major monetary upheavals of the late middle ages, a trend decline between 0.6–1.6 basis points per annum has prevailed. A gradual increase in real negative</w:t>
      </w:r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noBreakHyphen/>
        <w:t>yielding rates in advanced economies over the same horizon is identified, despite important temporary reversals such as the 17th Century Crisis. Against their long</w:t>
      </w:r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noBreakHyphen/>
        <w:t>term context, currently depressed sovereign real rates are in fact converging ‘back to historical trend’ — a trend that makes narratives about a ‘secular stagnation’ environment entirely misleading, and suggests that — irrespective of particular monetary and fiscal responses — real rates could soon enter permanently negative territory. I also posit that the return data here reflects a substantial share of ‘non</w:t>
      </w:r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noBreakHyphen/>
        <w:t>human wealth’ over time: the resulting R-G series derived from this data show a downward trend over the same timeframe: suggestions about the ‘virtual stability’ of capital returns, and the policy implications advanced by Piketty (2014) are in consequence equally unsubstantiated by the historical record.</w:t>
      </w:r>
    </w:p>
    <w:p w:rsidR="00D00D74" w:rsidRPr="00D00D74" w:rsidRDefault="00D00D74" w:rsidP="00D00D74">
      <w:pPr>
        <w:shd w:val="clear" w:color="auto" w:fill="FFFFFE"/>
        <w:spacing w:after="0" w:line="240" w:lineRule="auto"/>
        <w:rPr>
          <w:rFonts w:ascii="Trebuchet MS" w:eastAsia="Times New Roman" w:hAnsi="Trebuchet MS" w:cs="Times New Roman"/>
          <w:color w:val="1E1E1E"/>
          <w:sz w:val="27"/>
          <w:szCs w:val="27"/>
        </w:rPr>
      </w:pPr>
      <w:hyperlink r:id="rId5" w:tgtFrame="_blank" w:history="1">
        <w:r w:rsidRPr="00D00D74">
          <w:rPr>
            <w:rFonts w:ascii="Trebuchet MS" w:eastAsia="Times New Roman" w:hAnsi="Trebuchet MS" w:cs="Times New Roman"/>
            <w:noProof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mc:AlternateContent>
            <mc:Choice Requires="wps">
              <w:drawing>
                <wp:inline distT="0" distB="0" distL="0" distR="0">
                  <wp:extent cx="382270" cy="422910"/>
                  <wp:effectExtent l="0" t="0" r="0" b="0"/>
                  <wp:docPr id="3" name="Rectangle 3" descr="PD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822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2986236" id="Rectangle 3" o:spid="_x0000_s1026" alt="PDF" href="https://www.bankofengland.co.uk/-/media/boe/files/working-paper/2020/eight-centuries-of-global-real-interest-rates-r-g-and-the-suprasecular-decline-1311-2018.pdf?la=en&amp;hash=5197703E8834998B56DD8121C0B64BFB09FF4881" target="&quot;_blank&quot;" style="width:30.1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Eight centuries of global real interest rates, R-G, and the ‘</w:t>
        </w:r>
        <w:proofErr w:type="spellStart"/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suprasecular</w:t>
        </w:r>
        <w:proofErr w:type="spellEnd"/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’ decline, 1311–2018</w:t>
        </w:r>
      </w:hyperlink>
    </w:p>
    <w:p w:rsidR="00D00D74" w:rsidRPr="00D00D74" w:rsidRDefault="00D00D74" w:rsidP="00D00D74">
      <w:pPr>
        <w:shd w:val="clear" w:color="auto" w:fill="FFFFFE"/>
        <w:spacing w:after="240" w:line="240" w:lineRule="auto"/>
        <w:rPr>
          <w:rFonts w:ascii="Trebuchet MS" w:eastAsia="Times New Roman" w:hAnsi="Trebuchet MS" w:cs="Times New Roman"/>
          <w:color w:val="1E1E1E"/>
          <w:sz w:val="27"/>
          <w:szCs w:val="27"/>
        </w:rPr>
      </w:pPr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t>This is an online appendix to Staff Working Paper No. 845.</w:t>
      </w:r>
    </w:p>
    <w:p w:rsidR="00D00D74" w:rsidRPr="00D00D74" w:rsidRDefault="00D00D74" w:rsidP="00D00D74">
      <w:pPr>
        <w:shd w:val="clear" w:color="auto" w:fill="FFFFFE"/>
        <w:spacing w:after="0" w:line="240" w:lineRule="auto"/>
        <w:rPr>
          <w:rFonts w:ascii="Trebuchet MS" w:eastAsia="Times New Roman" w:hAnsi="Trebuchet MS" w:cs="Times New Roman"/>
          <w:color w:val="1E1E1E"/>
          <w:sz w:val="27"/>
          <w:szCs w:val="27"/>
        </w:rPr>
      </w:pPr>
      <w:hyperlink r:id="rId6" w:tgtFrame="_blank" w:history="1">
        <w:r w:rsidRPr="00D00D74">
          <w:rPr>
            <w:rFonts w:ascii="Trebuchet MS" w:eastAsia="Times New Roman" w:hAnsi="Trebuchet MS" w:cs="Times New Roman"/>
            <w:noProof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mc:AlternateContent>
            <mc:Choice Requires="wps">
              <w:drawing>
                <wp:inline distT="0" distB="0" distL="0" distR="0">
                  <wp:extent cx="382270" cy="422910"/>
                  <wp:effectExtent l="0" t="0" r="0" b="0"/>
                  <wp:docPr id="2" name="Rectangle 2" descr="PD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822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D930E3D" id="Rectangle 2" o:spid="_x0000_s1026" alt="PDF" href="https://www.bankofengland.co.uk/-/media/boe/files/working-paper/2020/eight-centuries-of-global-real-interest-rates-r-g-and-the-suprasecular-decline-1311-2018-appendix.pdf?la=en&amp;hash=B9B0C518DD0EDA3A462364040A88CB01EA2BD865" target="&quot;_blank&quot;" style="width:30.1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Appendix to Eight centuries of global real interest rates, R-G, and the ‘</w:t>
        </w:r>
        <w:proofErr w:type="spellStart"/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suprasecular</w:t>
        </w:r>
        <w:proofErr w:type="spellEnd"/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’ decline, 1311–2018</w:t>
        </w:r>
      </w:hyperlink>
    </w:p>
    <w:p w:rsidR="00D00D74" w:rsidRPr="00D00D74" w:rsidRDefault="00D00D74" w:rsidP="00D00D74">
      <w:pPr>
        <w:shd w:val="clear" w:color="auto" w:fill="FFFFFE"/>
        <w:spacing w:after="240" w:line="240" w:lineRule="auto"/>
        <w:rPr>
          <w:rFonts w:ascii="Trebuchet MS" w:eastAsia="Times New Roman" w:hAnsi="Trebuchet MS" w:cs="Times New Roman"/>
          <w:color w:val="1E1E1E"/>
          <w:sz w:val="27"/>
          <w:szCs w:val="27"/>
        </w:rPr>
      </w:pPr>
      <w:r w:rsidRPr="00D00D74">
        <w:rPr>
          <w:rFonts w:ascii="Trebuchet MS" w:eastAsia="Times New Roman" w:hAnsi="Trebuchet MS" w:cs="Times New Roman"/>
          <w:color w:val="1E1E1E"/>
          <w:sz w:val="27"/>
          <w:szCs w:val="27"/>
        </w:rPr>
        <w:t>Additional data to Staff Working Paper No. 845.</w:t>
      </w:r>
    </w:p>
    <w:p w:rsidR="00D00D74" w:rsidRPr="00D00D74" w:rsidRDefault="00D00D74" w:rsidP="00D00D74">
      <w:pPr>
        <w:shd w:val="clear" w:color="auto" w:fill="FFFFFE"/>
        <w:spacing w:after="0" w:line="240" w:lineRule="auto"/>
        <w:rPr>
          <w:rFonts w:ascii="Trebuchet MS" w:eastAsia="Times New Roman" w:hAnsi="Trebuchet MS" w:cs="Times New Roman"/>
          <w:color w:val="1E1E1E"/>
          <w:sz w:val="27"/>
          <w:szCs w:val="27"/>
        </w:rPr>
      </w:pPr>
      <w:hyperlink r:id="rId7" w:tgtFrame="_blank" w:history="1">
        <w:r w:rsidRPr="00D00D74">
          <w:rPr>
            <w:rFonts w:ascii="Trebuchet MS" w:eastAsia="Times New Roman" w:hAnsi="Trebuchet MS" w:cs="Times New Roman"/>
            <w:noProof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mc:AlternateContent>
            <mc:Choice Requires="wps">
              <w:drawing>
                <wp:inline distT="0" distB="0" distL="0" distR="0">
                  <wp:extent cx="382270" cy="422910"/>
                  <wp:effectExtent l="0" t="0" r="0" b="0"/>
                  <wp:docPr id="1" name="Rectangle 1" descr="Excel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822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FF178EC" id="Rectangle 1" o:spid="_x0000_s1026" alt="Excel" href="https://www.bankofengland.co.uk/-/media/boe/files/working-paper/2020/eight-centuries-of-global-real-interest-rates-r-g-and-the-suprasecular-decline-1311-2018-data.xlsx?la=en&amp;hash=DF9144E41D9FF7C3DE555582333AFF753A48A097" target="&quot;_blank&quot;" style="width:30.1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Additional data to Eight centuries of global real interest rates, R-G, and the ‘</w:t>
        </w:r>
        <w:proofErr w:type="spellStart"/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suprasecular</w:t>
        </w:r>
        <w:proofErr w:type="spellEnd"/>
        <w:r w:rsidRPr="00D00D74">
          <w:rPr>
            <w:rFonts w:ascii="Trebuchet MS" w:eastAsia="Times New Roman" w:hAnsi="Trebuchet MS" w:cs="Times New Roman"/>
            <w:color w:val="FFFFFE"/>
            <w:sz w:val="30"/>
            <w:szCs w:val="30"/>
            <w:bdr w:val="none" w:sz="0" w:space="0" w:color="auto" w:frame="1"/>
            <w:shd w:val="clear" w:color="auto" w:fill="005E6E"/>
          </w:rPr>
          <w:t>’ decline, 1311–2018</w:t>
        </w:r>
      </w:hyperlink>
    </w:p>
    <w:p w:rsidR="00D00D74" w:rsidRDefault="00D00D74"/>
    <w:p w:rsidR="00D00D74" w:rsidRDefault="00D00D74">
      <w:r>
        <w:t>…</w:t>
      </w:r>
    </w:p>
    <w:sectPr w:rsidR="00D00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74"/>
    <w:rsid w:val="003037F3"/>
    <w:rsid w:val="004F3A02"/>
    <w:rsid w:val="00D0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8DEBD-C135-44A5-8982-8DAC8F9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0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0D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0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D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0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4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059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nkofengland.co.uk/-/media/boe/files/working-paper/2020/eight-centuries-of-global-real-interest-rates-r-g-and-the-suprasecular-decline-1311-2018-data.xlsx?la=en&amp;hash=DF9144E41D9FF7C3DE555582333AFF753A48A0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ofengland.co.uk/-/media/boe/files/working-paper/2020/eight-centuries-of-global-real-interest-rates-r-g-and-the-suprasecular-decline-1311-2018-appendix.pdf?la=en&amp;hash=B9B0C518DD0EDA3A462364040A88CB01EA2BD865" TargetMode="External"/><Relationship Id="rId5" Type="http://schemas.openxmlformats.org/officeDocument/2006/relationships/hyperlink" Target="https://www.bankofengland.co.uk/-/media/boe/files/working-paper/2020/eight-centuries-of-global-real-interest-rates-r-g-and-the-suprasecular-decline-1311-2018.pdf?la=en&amp;hash=5197703E8834998B56DD8121C0B64BFB09FF4881" TargetMode="External"/><Relationship Id="rId4" Type="http://schemas.openxmlformats.org/officeDocument/2006/relationships/hyperlink" Target="https://www.bankofengland.co.uk/working-paper/2020/eight-centuries-of-global-real-interest-rates-r-g-and-the-suprasecular-decline-1311-20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2020-02-09T14:55:00Z</dcterms:created>
  <dcterms:modified xsi:type="dcterms:W3CDTF">2020-02-09T14:58:00Z</dcterms:modified>
</cp:coreProperties>
</file>